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80" w:rsidRDefault="007119C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HC3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106BEE">
        <w:rPr>
          <w:rFonts w:ascii="Arial" w:hAnsi="Arial" w:cs="Arial"/>
          <w:b/>
          <w:sz w:val="20"/>
          <w:szCs w:val="20"/>
        </w:rPr>
        <w:t>General Mandate</w:t>
      </w:r>
      <w:r w:rsidR="009348EB">
        <w:rPr>
          <w:rFonts w:ascii="Arial" w:hAnsi="Arial" w:cs="Arial"/>
          <w:b/>
          <w:sz w:val="20"/>
          <w:szCs w:val="20"/>
        </w:rPr>
        <w:t xml:space="preserve">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9C2">
        <w:rPr>
          <w:rFonts w:ascii="Arial" w:hAnsi="Arial" w:cs="Arial"/>
          <w:sz w:val="20"/>
          <w:szCs w:val="20"/>
        </w:rPr>
        <w:t>14</w:t>
      </w:r>
      <w:r w:rsidR="009348E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119C2" w:rsidRPr="007119C2">
        <w:rPr>
          <w:rFonts w:ascii="Arial" w:hAnsi="Arial" w:cs="Arial"/>
          <w:sz w:val="20"/>
          <w:szCs w:val="20"/>
        </w:rPr>
        <w:t>Hai</w:t>
      </w:r>
      <w:r w:rsidR="007119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9C2" w:rsidRPr="007119C2">
        <w:rPr>
          <w:rFonts w:ascii="Arial" w:hAnsi="Arial" w:cs="Arial"/>
          <w:sz w:val="20"/>
          <w:szCs w:val="20"/>
        </w:rPr>
        <w:t>Phong</w:t>
      </w:r>
      <w:proofErr w:type="spellEnd"/>
      <w:r w:rsidR="007119C2" w:rsidRPr="007119C2">
        <w:rPr>
          <w:rFonts w:ascii="Arial" w:hAnsi="Arial" w:cs="Arial"/>
          <w:sz w:val="20"/>
          <w:szCs w:val="20"/>
        </w:rPr>
        <w:t xml:space="preserve"> Construction Joint Stock Corporation No3</w:t>
      </w:r>
      <w:r w:rsidR="007119C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06BEE">
        <w:rPr>
          <w:rFonts w:ascii="Arial" w:hAnsi="Arial" w:cs="Arial"/>
          <w:sz w:val="20"/>
          <w:szCs w:val="20"/>
        </w:rPr>
        <w:t>General Mandate</w:t>
      </w:r>
      <w:r w:rsidR="009348EB">
        <w:rPr>
          <w:rFonts w:ascii="Arial" w:hAnsi="Arial" w:cs="Arial"/>
          <w:sz w:val="20"/>
          <w:szCs w:val="20"/>
        </w:rPr>
        <w:t xml:space="preserve">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9C2">
        <w:rPr>
          <w:rFonts w:ascii="Arial" w:hAnsi="Arial" w:cs="Arial"/>
          <w:sz w:val="20"/>
          <w:szCs w:val="20"/>
        </w:rPr>
        <w:t xml:space="preserve">Article 1: The General Meeting of Shareholders approves: </w:t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9C2">
        <w:rPr>
          <w:rFonts w:ascii="Arial" w:hAnsi="Arial" w:cs="Arial"/>
          <w:sz w:val="20"/>
          <w:szCs w:val="20"/>
        </w:rPr>
        <w:t xml:space="preserve">+ Reports of the Board of Directors and the Board of Management in 2019 </w:t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9C2">
        <w:rPr>
          <w:rFonts w:ascii="Arial" w:hAnsi="Arial" w:cs="Arial"/>
          <w:sz w:val="20"/>
          <w:szCs w:val="20"/>
        </w:rPr>
        <w:t xml:space="preserve">+ Reports of the Supervisory Board in 2019 </w:t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7119C2">
        <w:rPr>
          <w:rFonts w:ascii="Arial" w:hAnsi="Arial" w:cs="Arial"/>
          <w:sz w:val="20"/>
          <w:szCs w:val="20"/>
        </w:rPr>
        <w:t xml:space="preserve">2019 financial statements and 2019 consolidated financial statements </w:t>
      </w:r>
      <w:r>
        <w:rPr>
          <w:rFonts w:ascii="Arial" w:hAnsi="Arial" w:cs="Arial"/>
          <w:sz w:val="20"/>
          <w:szCs w:val="20"/>
        </w:rPr>
        <w:t xml:space="preserve">of </w:t>
      </w:r>
      <w:r w:rsidRPr="007119C2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7119C2">
        <w:rPr>
          <w:rFonts w:ascii="Arial" w:hAnsi="Arial" w:cs="Arial"/>
          <w:sz w:val="20"/>
          <w:szCs w:val="20"/>
        </w:rPr>
        <w:t>Phong</w:t>
      </w:r>
      <w:proofErr w:type="spellEnd"/>
      <w:r w:rsidRPr="007119C2">
        <w:rPr>
          <w:rFonts w:ascii="Arial" w:hAnsi="Arial" w:cs="Arial"/>
          <w:sz w:val="20"/>
          <w:szCs w:val="20"/>
        </w:rPr>
        <w:t xml:space="preserve"> Construct</w:t>
      </w:r>
      <w:r>
        <w:rPr>
          <w:rFonts w:ascii="Arial" w:hAnsi="Arial" w:cs="Arial"/>
          <w:sz w:val="20"/>
          <w:szCs w:val="20"/>
        </w:rPr>
        <w:t>ion Joint Stock Company No. 3</w:t>
      </w:r>
      <w:r w:rsidRPr="007119C2">
        <w:rPr>
          <w:rFonts w:ascii="Arial" w:hAnsi="Arial" w:cs="Arial"/>
          <w:sz w:val="20"/>
          <w:szCs w:val="20"/>
        </w:rPr>
        <w:t xml:space="preserve"> audite</w:t>
      </w:r>
      <w:r>
        <w:rPr>
          <w:rFonts w:ascii="Arial" w:hAnsi="Arial" w:cs="Arial"/>
          <w:sz w:val="20"/>
          <w:szCs w:val="20"/>
        </w:rPr>
        <w:t xml:space="preserve">d by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Viet Auditing Co., Ltd</w:t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9C2">
        <w:rPr>
          <w:rFonts w:ascii="Arial" w:hAnsi="Arial" w:cs="Arial"/>
          <w:sz w:val="20"/>
          <w:szCs w:val="20"/>
        </w:rPr>
        <w:t xml:space="preserve">Article 2: Approving the business results, profit distribution in 2019, financial targets in 2020 and other issues as follows: </w:t>
      </w:r>
    </w:p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9C2">
        <w:rPr>
          <w:rFonts w:ascii="Arial" w:hAnsi="Arial" w:cs="Arial"/>
          <w:sz w:val="20"/>
          <w:szCs w:val="20"/>
        </w:rPr>
        <w:t xml:space="preserve">* Business results in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2"/>
        <w:gridCol w:w="1595"/>
        <w:gridCol w:w="1595"/>
        <w:gridCol w:w="1596"/>
        <w:gridCol w:w="1596"/>
      </w:tblGrid>
      <w:tr w:rsidR="007119C2" w:rsidTr="001D160B">
        <w:tc>
          <w:tcPr>
            <w:tcW w:w="472" w:type="dxa"/>
          </w:tcPr>
          <w:p w:rsidR="007119C2" w:rsidRDefault="007119C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</w:tcPr>
          <w:p w:rsidR="007119C2" w:rsidRDefault="007119C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5" w:type="dxa"/>
          </w:tcPr>
          <w:p w:rsidR="007119C2" w:rsidRDefault="001D160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5" w:type="dxa"/>
          </w:tcPr>
          <w:p w:rsidR="007119C2" w:rsidRDefault="001D160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7119C2" w:rsidRDefault="001D160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7119C2" w:rsidRDefault="001D160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%</w:t>
            </w:r>
          </w:p>
        </w:tc>
      </w:tr>
      <w:tr w:rsidR="001D160B" w:rsidTr="001D160B">
        <w:tc>
          <w:tcPr>
            <w:tcW w:w="47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19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19C2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D160B" w:rsidTr="001D160B">
        <w:tc>
          <w:tcPr>
            <w:tcW w:w="47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19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C2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19C2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1D160B" w:rsidTr="001D160B">
        <w:tc>
          <w:tcPr>
            <w:tcW w:w="47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advanced</w:t>
            </w:r>
          </w:p>
        </w:tc>
        <w:tc>
          <w:tcPr>
            <w:tcW w:w="1596" w:type="dxa"/>
          </w:tcPr>
          <w:p w:rsidR="001D160B" w:rsidRDefault="001D160B" w:rsidP="001D1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9C2" w:rsidRDefault="007119C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38E1" w:rsidRDefault="006A38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Profit distribution and dividend payment for 2019</w:t>
      </w:r>
    </w:p>
    <w:p w:rsidR="006A38E1" w:rsidRDefault="006A38E1" w:rsidP="006A3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Profit before tax: </w:t>
      </w:r>
      <w:r w:rsidR="00FC66D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55,658,537,647</w:t>
      </w:r>
    </w:p>
    <w:p w:rsidR="006A38E1" w:rsidRDefault="006A38E1" w:rsidP="006A3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Profit after tax: </w:t>
      </w:r>
      <w:r w:rsidR="00FC66D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 xml:space="preserve">45,488,775,354 </w:t>
      </w:r>
    </w:p>
    <w:p w:rsidR="006A38E1" w:rsidRDefault="006A38E1" w:rsidP="006A3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+ Development investment fund 5%: </w:t>
      </w:r>
      <w:r w:rsidR="00FC66D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 xml:space="preserve">2,274,438,768 </w:t>
      </w:r>
    </w:p>
    <w:p w:rsidR="006A38E1" w:rsidRDefault="006A38E1" w:rsidP="006A3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left after deduction to</w:t>
      </w:r>
      <w:r w:rsidRPr="006A38E1">
        <w:rPr>
          <w:rFonts w:ascii="Arial" w:hAnsi="Arial" w:cs="Arial"/>
          <w:sz w:val="20"/>
          <w:szCs w:val="20"/>
        </w:rPr>
        <w:t xml:space="preserve"> fund</w:t>
      </w:r>
      <w:r>
        <w:rPr>
          <w:rFonts w:ascii="Arial" w:hAnsi="Arial" w:cs="Arial"/>
          <w:sz w:val="20"/>
          <w:szCs w:val="20"/>
        </w:rPr>
        <w:t>s</w:t>
      </w:r>
      <w:r w:rsidRPr="006A38E1">
        <w:rPr>
          <w:rFonts w:ascii="Arial" w:hAnsi="Arial" w:cs="Arial"/>
          <w:sz w:val="20"/>
          <w:szCs w:val="20"/>
        </w:rPr>
        <w:t xml:space="preserve"> in 2019: </w:t>
      </w:r>
      <w:r w:rsidR="00FC66DE">
        <w:rPr>
          <w:rFonts w:ascii="Arial" w:hAnsi="Arial" w:cs="Arial"/>
          <w:sz w:val="20"/>
          <w:szCs w:val="20"/>
        </w:rPr>
        <w:t xml:space="preserve">VND </w:t>
      </w:r>
      <w:r w:rsidRPr="006A38E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214</w:t>
      </w:r>
      <w:r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336</w:t>
      </w:r>
      <w:r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86 </w:t>
      </w:r>
    </w:p>
    <w:p w:rsidR="006A38E1" w:rsidRDefault="006A38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remaining profit before 2019 on</w:t>
      </w:r>
      <w:r w:rsidRPr="006A38E1">
        <w:rPr>
          <w:rFonts w:ascii="Arial" w:hAnsi="Arial" w:cs="Arial"/>
          <w:sz w:val="20"/>
          <w:szCs w:val="20"/>
        </w:rPr>
        <w:t xml:space="preserve"> December 31, 2019: </w:t>
      </w:r>
      <w:r w:rsidR="00FC66DE">
        <w:rPr>
          <w:rFonts w:ascii="Arial" w:hAnsi="Arial" w:cs="Arial"/>
          <w:sz w:val="20"/>
          <w:szCs w:val="20"/>
        </w:rPr>
        <w:t xml:space="preserve">VND </w:t>
      </w:r>
      <w:r w:rsidRPr="006A38E1">
        <w:rPr>
          <w:rFonts w:ascii="Arial" w:hAnsi="Arial" w:cs="Arial"/>
          <w:sz w:val="20"/>
          <w:szCs w:val="20"/>
        </w:rPr>
        <w:t>200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762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630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 xml:space="preserve">514 </w:t>
      </w:r>
    </w:p>
    <w:p w:rsidR="00FC66DE" w:rsidRDefault="006A38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Dividend payment in 2019: </w:t>
      </w:r>
    </w:p>
    <w:p w:rsidR="00FC66DE" w:rsidRDefault="006A38E1" w:rsidP="00FC66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+ Dividend </w:t>
      </w:r>
      <w:r w:rsidR="00FC66DE">
        <w:rPr>
          <w:rFonts w:ascii="Arial" w:hAnsi="Arial" w:cs="Arial"/>
          <w:sz w:val="20"/>
          <w:szCs w:val="20"/>
        </w:rPr>
        <w:t>advance of</w:t>
      </w:r>
      <w:r w:rsidRPr="006A38E1">
        <w:rPr>
          <w:rFonts w:ascii="Arial" w:hAnsi="Arial" w:cs="Arial"/>
          <w:sz w:val="20"/>
          <w:szCs w:val="20"/>
        </w:rPr>
        <w:t xml:space="preserve"> 10% in cash: </w:t>
      </w:r>
      <w:r w:rsidR="00FC66DE">
        <w:rPr>
          <w:rFonts w:ascii="Arial" w:hAnsi="Arial" w:cs="Arial"/>
          <w:sz w:val="20"/>
          <w:szCs w:val="20"/>
        </w:rPr>
        <w:t xml:space="preserve">VND 17,095,758,000 </w:t>
      </w:r>
    </w:p>
    <w:p w:rsidR="00FC66DE" w:rsidRDefault="006A38E1" w:rsidP="00FC66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 xml:space="preserve">+ Dividend payment of 10% in cash after the Meeting: </w:t>
      </w:r>
      <w:r w:rsidR="00FC66DE">
        <w:rPr>
          <w:rFonts w:ascii="Arial" w:hAnsi="Arial" w:cs="Arial"/>
          <w:sz w:val="20"/>
          <w:szCs w:val="20"/>
        </w:rPr>
        <w:t xml:space="preserve">VND 17,095,758,000 </w:t>
      </w:r>
    </w:p>
    <w:p w:rsidR="00FC66DE" w:rsidRDefault="006A38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t>+ Divi</w:t>
      </w:r>
      <w:r w:rsidR="00FC66DE">
        <w:rPr>
          <w:rFonts w:ascii="Arial" w:hAnsi="Arial" w:cs="Arial"/>
          <w:sz w:val="20"/>
          <w:szCs w:val="20"/>
        </w:rPr>
        <w:t>dend payment of 10% by</w:t>
      </w:r>
      <w:r w:rsidRPr="006A38E1">
        <w:rPr>
          <w:rFonts w:ascii="Arial" w:hAnsi="Arial" w:cs="Arial"/>
          <w:sz w:val="20"/>
          <w:szCs w:val="20"/>
        </w:rPr>
        <w:t xml:space="preserve"> shares after the Meeting: </w:t>
      </w:r>
      <w:r w:rsidR="00FC66DE" w:rsidRPr="006A38E1">
        <w:rPr>
          <w:rFonts w:ascii="Arial" w:hAnsi="Arial" w:cs="Arial"/>
          <w:sz w:val="20"/>
          <w:szCs w:val="20"/>
        </w:rPr>
        <w:t>VND</w:t>
      </w:r>
      <w:r w:rsidR="00FC66DE" w:rsidRPr="006A38E1">
        <w:rPr>
          <w:rFonts w:ascii="Arial" w:hAnsi="Arial" w:cs="Arial"/>
          <w:sz w:val="20"/>
          <w:szCs w:val="20"/>
        </w:rPr>
        <w:t xml:space="preserve"> </w:t>
      </w:r>
      <w:r w:rsidR="00FC66DE" w:rsidRPr="006A38E1">
        <w:rPr>
          <w:rFonts w:ascii="Arial" w:hAnsi="Arial" w:cs="Arial"/>
          <w:sz w:val="20"/>
          <w:szCs w:val="20"/>
        </w:rPr>
        <w:t>17</w:t>
      </w:r>
      <w:r w:rsidR="00FC66DE">
        <w:rPr>
          <w:rFonts w:ascii="Arial" w:hAnsi="Arial" w:cs="Arial"/>
          <w:sz w:val="20"/>
          <w:szCs w:val="20"/>
        </w:rPr>
        <w:t>,</w:t>
      </w:r>
      <w:r w:rsidR="00FC66DE" w:rsidRPr="006A38E1">
        <w:rPr>
          <w:rFonts w:ascii="Arial" w:hAnsi="Arial" w:cs="Arial"/>
          <w:sz w:val="20"/>
          <w:szCs w:val="20"/>
        </w:rPr>
        <w:t>095</w:t>
      </w:r>
      <w:r w:rsidR="00FC66DE">
        <w:rPr>
          <w:rFonts w:ascii="Arial" w:hAnsi="Arial" w:cs="Arial"/>
          <w:sz w:val="20"/>
          <w:szCs w:val="20"/>
        </w:rPr>
        <w:t>,</w:t>
      </w:r>
      <w:r w:rsidR="00FC66DE" w:rsidRPr="006A38E1">
        <w:rPr>
          <w:rFonts w:ascii="Arial" w:hAnsi="Arial" w:cs="Arial"/>
          <w:sz w:val="20"/>
          <w:szCs w:val="20"/>
        </w:rPr>
        <w:t>750</w:t>
      </w:r>
      <w:r w:rsidR="00FC66DE">
        <w:rPr>
          <w:rFonts w:ascii="Arial" w:hAnsi="Arial" w:cs="Arial"/>
          <w:sz w:val="20"/>
          <w:szCs w:val="20"/>
        </w:rPr>
        <w:t>,</w:t>
      </w:r>
      <w:r w:rsidR="00FC66DE" w:rsidRPr="006A38E1">
        <w:rPr>
          <w:rFonts w:ascii="Arial" w:hAnsi="Arial" w:cs="Arial"/>
          <w:sz w:val="20"/>
          <w:szCs w:val="20"/>
        </w:rPr>
        <w:t xml:space="preserve">000 </w:t>
      </w:r>
    </w:p>
    <w:p w:rsidR="001D160B" w:rsidRDefault="006A38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38E1">
        <w:rPr>
          <w:rFonts w:ascii="Arial" w:hAnsi="Arial" w:cs="Arial"/>
          <w:sz w:val="20"/>
          <w:szCs w:val="20"/>
        </w:rPr>
        <w:lastRenderedPageBreak/>
        <w:t>R</w:t>
      </w:r>
      <w:r w:rsidR="00FC66DE">
        <w:rPr>
          <w:rFonts w:ascii="Arial" w:hAnsi="Arial" w:cs="Arial"/>
          <w:sz w:val="20"/>
          <w:szCs w:val="20"/>
        </w:rPr>
        <w:t>emaining profit after dividend payment (20% in cash and 10% by</w:t>
      </w:r>
      <w:r w:rsidRPr="006A38E1">
        <w:rPr>
          <w:rFonts w:ascii="Arial" w:hAnsi="Arial" w:cs="Arial"/>
          <w:sz w:val="20"/>
          <w:szCs w:val="20"/>
        </w:rPr>
        <w:t xml:space="preserve"> stocks): </w:t>
      </w:r>
      <w:r w:rsidR="00FC66DE" w:rsidRPr="006A38E1">
        <w:rPr>
          <w:rFonts w:ascii="Arial" w:hAnsi="Arial" w:cs="Arial"/>
          <w:sz w:val="20"/>
          <w:szCs w:val="20"/>
        </w:rPr>
        <w:t xml:space="preserve">VND </w:t>
      </w:r>
      <w:r w:rsidRPr="006A38E1">
        <w:rPr>
          <w:rFonts w:ascii="Arial" w:hAnsi="Arial" w:cs="Arial"/>
          <w:sz w:val="20"/>
          <w:szCs w:val="20"/>
        </w:rPr>
        <w:t>209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785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459</w:t>
      </w:r>
      <w:r w:rsidR="00FC66DE">
        <w:rPr>
          <w:rFonts w:ascii="Arial" w:hAnsi="Arial" w:cs="Arial"/>
          <w:sz w:val="20"/>
          <w:szCs w:val="20"/>
        </w:rPr>
        <w:t>,</w:t>
      </w:r>
      <w:r w:rsidRPr="006A38E1">
        <w:rPr>
          <w:rFonts w:ascii="Arial" w:hAnsi="Arial" w:cs="Arial"/>
          <w:sz w:val="20"/>
          <w:szCs w:val="20"/>
        </w:rPr>
        <w:t>100</w:t>
      </w:r>
    </w:p>
    <w:p w:rsidR="004D21FC" w:rsidRDefault="004D21FC" w:rsidP="004D2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* Financial targets in 2020 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- Output value: </w:t>
      </w:r>
      <w:r>
        <w:rPr>
          <w:rFonts w:ascii="Arial" w:hAnsi="Arial" w:cs="Arial"/>
          <w:sz w:val="20"/>
          <w:szCs w:val="20"/>
        </w:rPr>
        <w:t xml:space="preserve">VND </w:t>
      </w:r>
      <w:r w:rsidRPr="004D21FC">
        <w:rPr>
          <w:rFonts w:ascii="Arial" w:hAnsi="Arial" w:cs="Arial"/>
          <w:sz w:val="20"/>
          <w:szCs w:val="20"/>
        </w:rPr>
        <w:t>130 billion</w:t>
      </w:r>
    </w:p>
    <w:p w:rsidR="004D21FC" w:rsidRDefault="004D21FC" w:rsidP="004D2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- Revenue: </w:t>
      </w:r>
      <w:r>
        <w:rPr>
          <w:rFonts w:ascii="Arial" w:hAnsi="Arial" w:cs="Arial"/>
          <w:sz w:val="20"/>
          <w:szCs w:val="20"/>
        </w:rPr>
        <w:t xml:space="preserve">VND </w:t>
      </w:r>
      <w:r w:rsidRPr="004D21FC">
        <w:rPr>
          <w:rFonts w:ascii="Arial" w:hAnsi="Arial" w:cs="Arial"/>
          <w:sz w:val="20"/>
          <w:szCs w:val="20"/>
        </w:rPr>
        <w:t>120 billion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- Profit before tax: </w:t>
      </w:r>
      <w:r w:rsidRPr="004D21FC">
        <w:rPr>
          <w:rFonts w:ascii="Arial" w:hAnsi="Arial" w:cs="Arial"/>
          <w:sz w:val="20"/>
          <w:szCs w:val="20"/>
        </w:rPr>
        <w:t>VND</w:t>
      </w:r>
      <w:r w:rsidRPr="004D21FC">
        <w:rPr>
          <w:rFonts w:ascii="Arial" w:hAnsi="Arial" w:cs="Arial"/>
          <w:sz w:val="20"/>
          <w:szCs w:val="20"/>
        </w:rPr>
        <w:t xml:space="preserve"> </w:t>
      </w:r>
      <w:r w:rsidRPr="004D21FC">
        <w:rPr>
          <w:rFonts w:ascii="Arial" w:hAnsi="Arial" w:cs="Arial"/>
          <w:sz w:val="20"/>
          <w:szCs w:val="20"/>
        </w:rPr>
        <w:t xml:space="preserve">35 billion 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- Dividend distribution: </w:t>
      </w:r>
      <w:r>
        <w:rPr>
          <w:rFonts w:ascii="Arial" w:hAnsi="Arial" w:cs="Arial"/>
          <w:sz w:val="20"/>
          <w:szCs w:val="20"/>
        </w:rPr>
        <w:t>≥</w:t>
      </w:r>
      <w:r w:rsidRPr="004D21FC">
        <w:rPr>
          <w:rFonts w:ascii="Arial" w:hAnsi="Arial" w:cs="Arial"/>
          <w:sz w:val="20"/>
          <w:szCs w:val="20"/>
        </w:rPr>
        <w:t xml:space="preserve"> 15% 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* Approving the orientations in the fields </w:t>
      </w:r>
      <w:r>
        <w:rPr>
          <w:rFonts w:ascii="Arial" w:hAnsi="Arial" w:cs="Arial"/>
          <w:sz w:val="20"/>
          <w:szCs w:val="20"/>
        </w:rPr>
        <w:t>of</w:t>
      </w:r>
      <w:r w:rsidRPr="004D21FC">
        <w:rPr>
          <w:rFonts w:ascii="Arial" w:hAnsi="Arial" w:cs="Arial"/>
          <w:sz w:val="20"/>
          <w:szCs w:val="20"/>
        </w:rPr>
        <w:t xml:space="preserve"> business activities of the Company in 2020 in Section II, Part II </w:t>
      </w:r>
      <w:r>
        <w:rPr>
          <w:rFonts w:ascii="Arial" w:hAnsi="Arial" w:cs="Arial"/>
          <w:sz w:val="20"/>
          <w:szCs w:val="20"/>
        </w:rPr>
        <w:t xml:space="preserve">in </w:t>
      </w:r>
      <w:r w:rsidRPr="004D21FC">
        <w:rPr>
          <w:rFonts w:ascii="Arial" w:hAnsi="Arial" w:cs="Arial"/>
          <w:sz w:val="20"/>
          <w:szCs w:val="20"/>
        </w:rPr>
        <w:t>Report of the Board of Directors and Board of Management of the Company at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>Article 3: Approve the rate of di</w:t>
      </w:r>
      <w:r>
        <w:rPr>
          <w:rFonts w:ascii="Arial" w:hAnsi="Arial" w:cs="Arial"/>
          <w:sz w:val="20"/>
          <w:szCs w:val="20"/>
        </w:rPr>
        <w:t>vidend payment in 2019 of 30%, in</w:t>
      </w:r>
      <w:r w:rsidRPr="004D21FC">
        <w:rPr>
          <w:rFonts w:ascii="Arial" w:hAnsi="Arial" w:cs="Arial"/>
          <w:sz w:val="20"/>
          <w:szCs w:val="20"/>
        </w:rPr>
        <w:t xml:space="preserve"> which 20% in cash (equivalent to the amount of </w:t>
      </w:r>
      <w:r w:rsidRPr="004D21FC">
        <w:rPr>
          <w:rFonts w:ascii="Arial" w:hAnsi="Arial" w:cs="Arial"/>
          <w:sz w:val="20"/>
          <w:szCs w:val="20"/>
        </w:rPr>
        <w:t>VND</w:t>
      </w:r>
      <w:r w:rsidRPr="004D2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34,191,</w:t>
      </w:r>
      <w:r w:rsidRPr="004D21FC">
        <w:rPr>
          <w:rFonts w:ascii="Arial" w:hAnsi="Arial" w:cs="Arial"/>
          <w:sz w:val="20"/>
          <w:szCs w:val="20"/>
        </w:rPr>
        <w:t>516,000</w:t>
      </w:r>
      <w:r>
        <w:rPr>
          <w:rFonts w:ascii="Arial" w:hAnsi="Arial" w:cs="Arial"/>
          <w:sz w:val="20"/>
          <w:szCs w:val="20"/>
        </w:rPr>
        <w:t>) and 10% by</w:t>
      </w:r>
      <w:r w:rsidRPr="004D21FC">
        <w:rPr>
          <w:rFonts w:ascii="Arial" w:hAnsi="Arial" w:cs="Arial"/>
          <w:sz w:val="20"/>
          <w:szCs w:val="20"/>
        </w:rPr>
        <w:t xml:space="preserve"> stock and stoc</w:t>
      </w:r>
      <w:r>
        <w:rPr>
          <w:rFonts w:ascii="Arial" w:hAnsi="Arial" w:cs="Arial"/>
          <w:sz w:val="20"/>
          <w:szCs w:val="20"/>
        </w:rPr>
        <w:t>k issuance plan for increasing charter capital</w:t>
      </w:r>
    </w:p>
    <w:p w:rsidR="004D21FC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>Article 4: Approve the remuneration of the Board of Directors, the Supervisory Bo</w:t>
      </w:r>
      <w:r>
        <w:rPr>
          <w:rFonts w:ascii="Arial" w:hAnsi="Arial" w:cs="Arial"/>
          <w:sz w:val="20"/>
          <w:szCs w:val="20"/>
        </w:rPr>
        <w:t>ard in 2019 and the 2020 plan</w:t>
      </w:r>
    </w:p>
    <w:p w:rsidR="00FC66DE" w:rsidRDefault="004D21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FC">
        <w:rPr>
          <w:rFonts w:ascii="Arial" w:hAnsi="Arial" w:cs="Arial"/>
          <w:sz w:val="20"/>
          <w:szCs w:val="20"/>
        </w:rPr>
        <w:t xml:space="preserve">Article 5: The General Meeting of Shareholders authorizes the </w:t>
      </w:r>
      <w:r>
        <w:rPr>
          <w:rFonts w:ascii="Arial" w:hAnsi="Arial" w:cs="Arial"/>
          <w:sz w:val="20"/>
          <w:szCs w:val="20"/>
        </w:rPr>
        <w:t>Board of Directors to select an</w:t>
      </w:r>
      <w:r w:rsidRPr="004D21FC">
        <w:rPr>
          <w:rFonts w:ascii="Arial" w:hAnsi="Arial" w:cs="Arial"/>
          <w:sz w:val="20"/>
          <w:szCs w:val="20"/>
        </w:rPr>
        <w:t xml:space="preserve"> auditing company </w:t>
      </w:r>
      <w:r>
        <w:rPr>
          <w:rFonts w:ascii="Arial" w:hAnsi="Arial" w:cs="Arial"/>
          <w:sz w:val="20"/>
          <w:szCs w:val="20"/>
        </w:rPr>
        <w:t xml:space="preserve">for </w:t>
      </w:r>
      <w:r w:rsidRPr="004D21FC">
        <w:rPr>
          <w:rFonts w:ascii="Arial" w:hAnsi="Arial" w:cs="Arial"/>
          <w:sz w:val="20"/>
          <w:szCs w:val="20"/>
        </w:rPr>
        <w:t>financial statements in 2020</w:t>
      </w:r>
    </w:p>
    <w:p w:rsidR="002C6E02" w:rsidRDefault="007E06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</w:t>
      </w:r>
      <w:r w:rsidRPr="007E06FF">
        <w:rPr>
          <w:rFonts w:ascii="Arial" w:hAnsi="Arial" w:cs="Arial"/>
          <w:sz w:val="20"/>
          <w:szCs w:val="20"/>
        </w:rPr>
        <w:t>Approving the dismissal of</w:t>
      </w:r>
      <w:r>
        <w:rPr>
          <w:rFonts w:ascii="Arial" w:hAnsi="Arial" w:cs="Arial"/>
          <w:sz w:val="20"/>
          <w:szCs w:val="20"/>
        </w:rPr>
        <w:t xml:space="preserve"> members of</w:t>
      </w:r>
      <w:r w:rsidRPr="007E06FF">
        <w:rPr>
          <w:rFonts w:ascii="Arial" w:hAnsi="Arial" w:cs="Arial"/>
          <w:sz w:val="20"/>
          <w:szCs w:val="20"/>
        </w:rPr>
        <w:t xml:space="preserve"> the Supervisory Board </w:t>
      </w:r>
      <w:r>
        <w:rPr>
          <w:rFonts w:ascii="Arial" w:hAnsi="Arial" w:cs="Arial"/>
          <w:sz w:val="20"/>
          <w:szCs w:val="20"/>
        </w:rPr>
        <w:t>and</w:t>
      </w:r>
      <w:r w:rsidRPr="007E06FF">
        <w:rPr>
          <w:rFonts w:ascii="Arial" w:hAnsi="Arial" w:cs="Arial"/>
          <w:sz w:val="20"/>
          <w:szCs w:val="20"/>
        </w:rPr>
        <w:t xml:space="preserve"> Ms. Hoang </w:t>
      </w:r>
      <w:proofErr w:type="spellStart"/>
      <w:r w:rsidRPr="007E06FF">
        <w:rPr>
          <w:rFonts w:ascii="Arial" w:hAnsi="Arial" w:cs="Arial"/>
          <w:sz w:val="20"/>
          <w:szCs w:val="20"/>
        </w:rPr>
        <w:t>Thi</w:t>
      </w:r>
      <w:proofErr w:type="spellEnd"/>
      <w:r w:rsidRPr="007E0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6FF">
        <w:rPr>
          <w:rFonts w:ascii="Arial" w:hAnsi="Arial" w:cs="Arial"/>
          <w:sz w:val="20"/>
          <w:szCs w:val="20"/>
        </w:rPr>
        <w:t>Thanh</w:t>
      </w:r>
      <w:proofErr w:type="spellEnd"/>
      <w:r w:rsidRPr="007E0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6FF">
        <w:rPr>
          <w:rFonts w:ascii="Arial" w:hAnsi="Arial" w:cs="Arial"/>
          <w:sz w:val="20"/>
          <w:szCs w:val="20"/>
        </w:rPr>
        <w:t>Thoan</w:t>
      </w:r>
      <w:proofErr w:type="spellEnd"/>
      <w:r w:rsidRPr="007E06FF">
        <w:rPr>
          <w:rFonts w:ascii="Arial" w:hAnsi="Arial" w:cs="Arial"/>
          <w:sz w:val="20"/>
          <w:szCs w:val="20"/>
        </w:rPr>
        <w:t xml:space="preserve"> from July 1, 2019 and approving the results of additional election of 01 </w:t>
      </w:r>
      <w:r w:rsidR="002C6E02" w:rsidRPr="007E06FF">
        <w:rPr>
          <w:rFonts w:ascii="Arial" w:hAnsi="Arial" w:cs="Arial"/>
          <w:sz w:val="20"/>
          <w:szCs w:val="20"/>
        </w:rPr>
        <w:t xml:space="preserve">member </w:t>
      </w:r>
      <w:r w:rsidR="002C6E02">
        <w:rPr>
          <w:rFonts w:ascii="Arial" w:hAnsi="Arial" w:cs="Arial"/>
          <w:sz w:val="20"/>
          <w:szCs w:val="20"/>
        </w:rPr>
        <w:t xml:space="preserve">of the </w:t>
      </w:r>
      <w:r w:rsidRPr="007E06FF">
        <w:rPr>
          <w:rFonts w:ascii="Arial" w:hAnsi="Arial" w:cs="Arial"/>
          <w:sz w:val="20"/>
          <w:szCs w:val="20"/>
        </w:rPr>
        <w:t>Supervisory Board for the remaining p</w:t>
      </w:r>
      <w:r w:rsidR="002C6E02">
        <w:rPr>
          <w:rFonts w:ascii="Arial" w:hAnsi="Arial" w:cs="Arial"/>
          <w:sz w:val="20"/>
          <w:szCs w:val="20"/>
        </w:rPr>
        <w:t>eriod of the term 2018 – 2023: Ms.  Tran Hong Van</w:t>
      </w:r>
    </w:p>
    <w:p w:rsidR="002C6E02" w:rsidRDefault="007E06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6FF">
        <w:rPr>
          <w:rFonts w:ascii="Arial" w:hAnsi="Arial" w:cs="Arial"/>
          <w:sz w:val="20"/>
          <w:szCs w:val="20"/>
        </w:rPr>
        <w:t xml:space="preserve">Article 7: </w:t>
      </w:r>
      <w:r w:rsidR="002C6E02">
        <w:rPr>
          <w:rFonts w:ascii="Arial" w:hAnsi="Arial" w:cs="Arial"/>
          <w:sz w:val="20"/>
          <w:szCs w:val="20"/>
        </w:rPr>
        <w:t>For unimplemented issues</w:t>
      </w:r>
      <w:r w:rsidRPr="007E06FF">
        <w:rPr>
          <w:rFonts w:ascii="Arial" w:hAnsi="Arial" w:cs="Arial"/>
          <w:sz w:val="20"/>
          <w:szCs w:val="20"/>
        </w:rPr>
        <w:t xml:space="preserve"> </w:t>
      </w:r>
      <w:r w:rsidR="002C6E02">
        <w:rPr>
          <w:rFonts w:ascii="Arial" w:hAnsi="Arial" w:cs="Arial"/>
          <w:sz w:val="20"/>
          <w:szCs w:val="20"/>
        </w:rPr>
        <w:t>approved at</w:t>
      </w:r>
      <w:r w:rsidRPr="007E06FF">
        <w:rPr>
          <w:rFonts w:ascii="Arial" w:hAnsi="Arial" w:cs="Arial"/>
          <w:sz w:val="20"/>
          <w:szCs w:val="20"/>
        </w:rPr>
        <w:t xml:space="preserve"> the previous General Meetings</w:t>
      </w:r>
      <w:r w:rsidR="002C6E02">
        <w:rPr>
          <w:rFonts w:ascii="Arial" w:hAnsi="Arial" w:cs="Arial"/>
          <w:sz w:val="20"/>
          <w:szCs w:val="20"/>
        </w:rPr>
        <w:t>,</w:t>
      </w:r>
      <w:r w:rsidRPr="007E06FF">
        <w:rPr>
          <w:rFonts w:ascii="Arial" w:hAnsi="Arial" w:cs="Arial"/>
          <w:sz w:val="20"/>
          <w:szCs w:val="20"/>
        </w:rPr>
        <w:t xml:space="preserve"> continue to </w:t>
      </w:r>
      <w:r w:rsidR="002C6E02">
        <w:rPr>
          <w:rFonts w:ascii="Arial" w:hAnsi="Arial" w:cs="Arial"/>
          <w:sz w:val="20"/>
          <w:szCs w:val="20"/>
        </w:rPr>
        <w:t>implement</w:t>
      </w:r>
    </w:p>
    <w:p w:rsidR="004D21FC" w:rsidRDefault="007E06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6FF">
        <w:rPr>
          <w:rFonts w:ascii="Arial" w:hAnsi="Arial" w:cs="Arial"/>
          <w:sz w:val="20"/>
          <w:szCs w:val="20"/>
        </w:rPr>
        <w:t xml:space="preserve">Article 8: This Resolution </w:t>
      </w:r>
      <w:r w:rsidR="002C6E02">
        <w:rPr>
          <w:rFonts w:ascii="Arial" w:hAnsi="Arial" w:cs="Arial"/>
          <w:sz w:val="20"/>
          <w:szCs w:val="20"/>
        </w:rPr>
        <w:t>was</w:t>
      </w:r>
      <w:r w:rsidRPr="007E06FF">
        <w:rPr>
          <w:rFonts w:ascii="Arial" w:hAnsi="Arial" w:cs="Arial"/>
          <w:sz w:val="20"/>
          <w:szCs w:val="20"/>
        </w:rPr>
        <w:t xml:space="preserve"> approved by the General Meeting of Shareholders of Hai </w:t>
      </w:r>
      <w:proofErr w:type="spellStart"/>
      <w:r w:rsidRPr="007E06FF">
        <w:rPr>
          <w:rFonts w:ascii="Arial" w:hAnsi="Arial" w:cs="Arial"/>
          <w:sz w:val="20"/>
          <w:szCs w:val="20"/>
        </w:rPr>
        <w:t>Phong</w:t>
      </w:r>
      <w:proofErr w:type="spellEnd"/>
      <w:r w:rsidRPr="007E06FF">
        <w:rPr>
          <w:rFonts w:ascii="Arial" w:hAnsi="Arial" w:cs="Arial"/>
          <w:sz w:val="20"/>
          <w:szCs w:val="20"/>
        </w:rPr>
        <w:t xml:space="preserve"> Construction Joint Stock Company No. 3 in 2020 </w:t>
      </w:r>
      <w:r w:rsidR="002C6E02">
        <w:rPr>
          <w:rFonts w:ascii="Arial" w:hAnsi="Arial" w:cs="Arial"/>
          <w:sz w:val="20"/>
          <w:szCs w:val="20"/>
        </w:rPr>
        <w:t xml:space="preserve">at the General Meeting of Shareholders on April 14, 2020. </w:t>
      </w:r>
      <w:r w:rsidRPr="007E06FF">
        <w:rPr>
          <w:rFonts w:ascii="Arial" w:hAnsi="Arial" w:cs="Arial"/>
          <w:sz w:val="20"/>
          <w:szCs w:val="20"/>
        </w:rPr>
        <w:t xml:space="preserve">The Board of Directors, the </w:t>
      </w:r>
      <w:r w:rsidR="002C6E02">
        <w:rPr>
          <w:rFonts w:ascii="Arial" w:hAnsi="Arial" w:cs="Arial"/>
          <w:sz w:val="20"/>
          <w:szCs w:val="20"/>
        </w:rPr>
        <w:t>Supervisor Board</w:t>
      </w:r>
      <w:r w:rsidRPr="007E06FF">
        <w:rPr>
          <w:rFonts w:ascii="Arial" w:hAnsi="Arial" w:cs="Arial"/>
          <w:sz w:val="20"/>
          <w:szCs w:val="20"/>
        </w:rPr>
        <w:t xml:space="preserve"> and the Board of Management are responsible for implementing th</w:t>
      </w:r>
      <w:r w:rsidR="002C6E02">
        <w:rPr>
          <w:rFonts w:ascii="Arial" w:hAnsi="Arial" w:cs="Arial"/>
          <w:sz w:val="20"/>
          <w:szCs w:val="20"/>
        </w:rPr>
        <w:t>is Resolution</w:t>
      </w:r>
      <w:bookmarkStart w:id="0" w:name="_GoBack"/>
      <w:bookmarkEnd w:id="0"/>
    </w:p>
    <w:sectPr w:rsidR="004D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06BEE"/>
    <w:rsid w:val="00132EC5"/>
    <w:rsid w:val="00146DCF"/>
    <w:rsid w:val="0016411D"/>
    <w:rsid w:val="00167E2F"/>
    <w:rsid w:val="001D160B"/>
    <w:rsid w:val="001F34A1"/>
    <w:rsid w:val="001F6744"/>
    <w:rsid w:val="00231BC5"/>
    <w:rsid w:val="002B42CC"/>
    <w:rsid w:val="002C6E02"/>
    <w:rsid w:val="002D481A"/>
    <w:rsid w:val="002D4939"/>
    <w:rsid w:val="002D53EE"/>
    <w:rsid w:val="002E7FD0"/>
    <w:rsid w:val="00304722"/>
    <w:rsid w:val="00327CF7"/>
    <w:rsid w:val="0033774A"/>
    <w:rsid w:val="003448F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1A90"/>
    <w:rsid w:val="00496733"/>
    <w:rsid w:val="004B2BA6"/>
    <w:rsid w:val="004D21FC"/>
    <w:rsid w:val="00503DD6"/>
    <w:rsid w:val="0052379D"/>
    <w:rsid w:val="005610CB"/>
    <w:rsid w:val="00576A91"/>
    <w:rsid w:val="0058434E"/>
    <w:rsid w:val="005906FC"/>
    <w:rsid w:val="005B40E5"/>
    <w:rsid w:val="00695ACD"/>
    <w:rsid w:val="006A38E1"/>
    <w:rsid w:val="006B04E8"/>
    <w:rsid w:val="006C692E"/>
    <w:rsid w:val="006E15A6"/>
    <w:rsid w:val="006E5E99"/>
    <w:rsid w:val="007119C2"/>
    <w:rsid w:val="00732DC3"/>
    <w:rsid w:val="00744587"/>
    <w:rsid w:val="00745D9A"/>
    <w:rsid w:val="0077456B"/>
    <w:rsid w:val="007A072F"/>
    <w:rsid w:val="007A1FCC"/>
    <w:rsid w:val="007B67AF"/>
    <w:rsid w:val="007E06FF"/>
    <w:rsid w:val="008134FC"/>
    <w:rsid w:val="00837771"/>
    <w:rsid w:val="0084142F"/>
    <w:rsid w:val="0084485C"/>
    <w:rsid w:val="00853748"/>
    <w:rsid w:val="008544C2"/>
    <w:rsid w:val="008C7A42"/>
    <w:rsid w:val="009348EB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56189"/>
    <w:rsid w:val="00C618AE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C66DE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CA0C"/>
  <w15:docId w15:val="{98658958-8DD7-4F6A-B948-DA5266F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2020-04-18T05:31:00Z</dcterms:modified>
</cp:coreProperties>
</file>